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AA" w:rsidRDefault="005D3320" w:rsidP="005D332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Счетная палата городского округа Домодедово Московской области в соответствии с ст. 264.4 Бюджетного кодекса Российской Федерации, Положением «О бюджетном процессе в городском округе Домодедово Московской области», Положением о Счетной палате и в соответствии с планом работы осуществила проверку отчета об исполнении бюджета городского округа Домодедово Московской области за 2021 год. Внешняя проверка включала в себя ревизию бюджетной отчетности главных администраторов средств бюджета и подготовку заключения на годовой отчет об исполнении бюджета городского округа Домодедово Московской области за 2021 год.</w:t>
      </w:r>
    </w:p>
    <w:p w:rsidR="005D3320" w:rsidRDefault="00AE5159" w:rsidP="005D332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городского округа Домодедово за 2021 год соответствует принципам открытости, гласности и социальной направленности.</w:t>
      </w:r>
      <w:r w:rsidR="00DE268A">
        <w:rPr>
          <w:rFonts w:ascii="Times New Roman" w:hAnsi="Times New Roman" w:cs="Times New Roman"/>
          <w:sz w:val="24"/>
          <w:szCs w:val="24"/>
        </w:rPr>
        <w:t xml:space="preserve"> Заключение Счетной палаты было направлено в Совет депутатов, Главе городского округа Домодедово и размещено на официальном сайте.</w:t>
      </w:r>
      <w:bookmarkStart w:id="0" w:name="_GoBack"/>
      <w:bookmarkEnd w:id="0"/>
    </w:p>
    <w:p w:rsidR="009051F2" w:rsidRDefault="009051F2" w:rsidP="005D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3320" w:rsidRPr="005D3320" w:rsidRDefault="005D3320" w:rsidP="005D332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D3320" w:rsidRPr="005D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20"/>
    <w:rsid w:val="005D3320"/>
    <w:rsid w:val="007F03AA"/>
    <w:rsid w:val="009051F2"/>
    <w:rsid w:val="00AE5159"/>
    <w:rsid w:val="00DE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8FA24-4599-4AFB-89E9-B9A12F7D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2022-05-04T12:25:00Z</dcterms:created>
  <dcterms:modified xsi:type="dcterms:W3CDTF">2022-05-04T12:57:00Z</dcterms:modified>
</cp:coreProperties>
</file>